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4EE198E2" w:rsidR="0022631D" w:rsidRPr="00411537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«Վ. Ա. Ֆանարջյանի անվան ուռուցքաբանության ազգային կենտրոն» ՓԲԸ-ն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</w:t>
      </w:r>
      <w:r w:rsidRPr="00411537">
        <w:rPr>
          <w:rFonts w:ascii="Cambria Math" w:eastAsia="Times New Roman" w:hAnsi="Cambria Math" w:cs="Cambria Math"/>
          <w:color w:val="000000" w:themeColor="text1"/>
          <w:sz w:val="20"/>
          <w:szCs w:val="20"/>
          <w:lang w:val="af-ZA" w:eastAsia="ru-RU"/>
        </w:rPr>
        <w:t>․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Երևան, Ֆանարջյան 76շ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6136FE" w:rsidRPr="006136F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վիրաբուժական խալաթների</w:t>
      </w:r>
      <w:r w:rsidR="006136FE" w:rsidRPr="006136F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E725AC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ՈՒԱԿ-ԳՀԱՊՁԲ-</w:t>
      </w:r>
      <w:r w:rsidR="006136F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22/55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2022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r w:rsidR="00513B41" w:rsidRPr="006136F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հունիսի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6D7C73" w:rsidRPr="006D7C73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0</w:t>
      </w:r>
      <w:r w:rsidR="006136FE" w:rsidRPr="006136F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9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-ին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C71BE" w:rsidRPr="00B47E46" w14:paraId="068CE98F" w14:textId="77777777" w:rsidTr="001C71BE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4BB79FCF" w14:textId="3E626AE4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9779" w14:textId="14073E8D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Վիրաբուժական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բժշկի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1F48B" w14:textId="5686192E" w:rsidR="001C71BE" w:rsidRPr="00D51B3E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AB7D7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4E70" w14:textId="77777777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105A3" w14:textId="19235A07" w:rsidR="001C71BE" w:rsidRPr="007524DF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22E3C" w14:textId="77777777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3447C8E" w14:textId="3524A058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321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640 000</w:t>
            </w:r>
          </w:p>
        </w:tc>
        <w:tc>
          <w:tcPr>
            <w:tcW w:w="18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6C465" w14:textId="77777777" w:rsidR="001C71BE" w:rsidRPr="0097175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Վիրաբուժական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երկարաթև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վիրահատող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բժշկի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օձիքով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Թեթեւ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խոնավություն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չանցկացնող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անցկացնի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հիվանդի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կենսաբանական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հեղուկները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Հիգիենիկ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հիպոալերգիկ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Բազմանգամյա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Լայնությունը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140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երկարությունը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135սմ: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Դաստակի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հատվածում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նեղացած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մանժետի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3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զույգ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բժշկի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մեջքի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հատվածում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կապելու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Գործվածքը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դիմացկուն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հիմքերի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թթուների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Լվացվում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ինչպես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ձեռքով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այնպես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լվացքի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մեքենայով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Ավտոկլավացվող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Որակյալ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հնարավոր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լվանալ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անգամ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XL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հասակը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180-184;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կուրծք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108-112;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96-106;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ազդրեր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104-108):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ամբողջ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քանակի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մատակարարումը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մուշը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համաձայնեցնել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պատվիրատուի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  <w:p w14:paraId="22D94882" w14:textId="77777777" w:rsidR="001C71BE" w:rsidRPr="0097175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  <w:p w14:paraId="156B1560" w14:textId="3B70D060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80732" w14:textId="77777777" w:rsidR="001C71BE" w:rsidRPr="0097175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Վիրաբուժական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երկարաթև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վիրահատող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բժշկի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օձիքով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Թեթեւ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խոնավություն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չանցկացնող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անցկացնի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հիվանդի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կենսաբանական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հեղուկները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Հիգիենիկ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հիպոալերգիկ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Բազմանգամյա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Լայնությունը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140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երկարությունը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135սմ: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Դաստակի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հատվածում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նեղացած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մանժետի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3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զույգ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բժշկի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մեջքի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հատվածում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կապելու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Գործվածքը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դիմացկուն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հիմքերի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թթուների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Լվացվում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ինչպես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ձեռքով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այնպես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լվացքի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մեքենայով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Ավտոկլավացվող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Որակյալ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հնարավոր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լվանալ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անգամ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XL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հասակը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180-184;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կուրծք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108-112;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96-106;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ազդրեր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104-108):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ամբողջ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քանակի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մատակարարումը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մուշը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համաձայնեցնել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պատվիրատուի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  <w:p w14:paraId="1228E375" w14:textId="77777777" w:rsidR="001C71BE" w:rsidRPr="0097175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  <w:p w14:paraId="481FC9C8" w14:textId="5E7C3271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B47E46" w14:paraId="6754DCC6" w14:textId="77777777" w:rsidTr="001C71BE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6E8B5A4" w14:textId="60AB7E6C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323E" w14:textId="4952705D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Վիրաբուժական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վիրահատվող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հիվանդի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29F3" w14:textId="7180EF58" w:rsidR="001C71BE" w:rsidRPr="00D51B3E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AB7D7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164E" w14:textId="77777777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7B608" w14:textId="1444A59B" w:rsidR="001C71BE" w:rsidRPr="007524DF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F28F2" w14:textId="77777777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A42B62A" w14:textId="7A727659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321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295 000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33277" w14:textId="110D42C3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երկարաթև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վիրահատվող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հիվանդների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Լայն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թևերով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թեթև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Հիգիենիկ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հակաալերգիկ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բազմանգամյա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կապելու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կողքից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կապելու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Երկարությունը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115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Գործվածքը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դիմացկուն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հիմքերի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թթուների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Լվացվում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ինչպես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ձեռքով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այնպես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լվացքի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մեքենայով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Ավտոկլավացվող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Որակյալ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հնարավոր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լվանալ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անգամ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XL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հասակը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180-184;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կուրծք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108-112;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96-106;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ազդրեր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104-108):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ինչև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ամբողջ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քանակի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մատակարարումը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մուշը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համաձայնեցնել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պատվիրատուի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C476" w14:textId="3FEC0101" w:rsidR="001C71BE" w:rsidRPr="00117D47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երկարաթև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վիրահատվող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հիվանդների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Լայն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թևերով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թեթև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Հիգիենիկ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հակաալերգիկ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բազմանգամյա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կապելու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կողքից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կապելու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Երկարությունը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115սմ: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Գործվածքը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դիմացկուն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հիմքերի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թթուների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Լվացվում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ինչպես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ձեռքով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այնպես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լվացքի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մեքենայով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Ավտոկլավացվող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Որակյալ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հնարավոր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լվանալ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անգամ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Խալաթի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XL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հասակը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180-184;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կուրծք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108-112;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իրան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սմ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96-106;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ազդրեր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104-108):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նոր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և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ինչև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ամբողջ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քանակի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մատակարարումը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մուշը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համաձայնեցնել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պատվիրատուի</w:t>
            </w:r>
            <w:proofErr w:type="spellEnd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7175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</w:t>
            </w:r>
            <w:proofErr w:type="spellEnd"/>
          </w:p>
        </w:tc>
      </w:tr>
      <w:tr w:rsidR="001C71BE" w:rsidRPr="00411537" w14:paraId="4B8BC031" w14:textId="59282C47" w:rsidTr="001C71BE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411537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1C71BE" w:rsidRPr="00411537" w14:paraId="075EEA57" w14:textId="77777777" w:rsidTr="001C71BE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BF94E9C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136F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="000727E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06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5</w:t>
            </w: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2022</w:t>
            </w: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</w:t>
            </w:r>
          </w:p>
        </w:tc>
      </w:tr>
      <w:tr w:rsidR="001C71BE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E320913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1C71BE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C71BE" w:rsidRPr="00141183" w:rsidRDefault="001C71BE" w:rsidP="001C71B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411537" w14:paraId="30B89418" w14:textId="77777777" w:rsidTr="001C71BE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71BE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6B525FDF" w:rsidR="001C71BE" w:rsidRPr="00141183" w:rsidRDefault="001C71BE" w:rsidP="001C71B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1C71BE" w:rsidRPr="00411537" w14:paraId="3FD00E3A" w14:textId="77777777" w:rsidTr="001C71BE">
        <w:trPr>
          <w:trHeight w:val="365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1C71BE" w:rsidRPr="00411537" w:rsidRDefault="001C71BE" w:rsidP="001C71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1C71BE" w:rsidRPr="00411537" w:rsidRDefault="001C71BE" w:rsidP="001C71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1C71BE" w:rsidRPr="00411537" w:rsidRDefault="001C71BE" w:rsidP="001C71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1C71BE" w:rsidRPr="00411537" w:rsidRDefault="001C71BE" w:rsidP="001C71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1C71BE" w:rsidRPr="00411537" w:rsidRDefault="001C71BE" w:rsidP="001C71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0727EC" w:rsidRPr="006D4A82" w14:paraId="368A466C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0E3CD82" w14:textId="7DB2AE8D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BB7D6D">
              <w:rPr>
                <w:rFonts w:ascii="GHEA Grapalat" w:hAnsi="GHEA Grapalat"/>
                <w:b/>
                <w:color w:val="000000"/>
                <w:sz w:val="16"/>
                <w:szCs w:val="14"/>
              </w:rPr>
              <w:t>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E4F968B" w14:textId="5B849BA5" w:rsidR="000727EC" w:rsidRPr="006C75CF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E4F33AF" w14:textId="2B3641BC" w:rsidR="000727EC" w:rsidRPr="006E6FC4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F7E6FB5" w14:textId="020F9791" w:rsidR="000727EC" w:rsidRPr="006E6FC4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0902FE6" w14:textId="0DA4B064" w:rsidR="000727EC" w:rsidRPr="006E6FC4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0727EC" w:rsidRPr="006D4A82" w14:paraId="2D24D57D" w14:textId="77777777" w:rsidTr="000727EC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A6E4D2F" w14:textId="198A476C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493D992" w14:textId="7981FAB6" w:rsidR="000727EC" w:rsidRPr="00193323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Կարեն</w:t>
            </w:r>
            <w:proofErr w:type="spellEnd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Սարգսյան</w:t>
            </w:r>
            <w:proofErr w:type="spellEnd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Ա/Ձ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0E732F" w14:textId="7DC9B8C1" w:rsidR="000727EC" w:rsidRPr="00193323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533 333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0658DF0" w14:textId="3EC1C451" w:rsidR="000727EC" w:rsidRPr="00193323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106 667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303356A" w14:textId="2A95292D" w:rsidR="000727EC" w:rsidRPr="00193323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640 000</w:t>
            </w:r>
          </w:p>
        </w:tc>
      </w:tr>
      <w:tr w:rsidR="000727EC" w:rsidRPr="006D4A82" w14:paraId="7C656A8C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29923CD" w14:textId="1559E8BE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7FF5A78" w14:textId="0A7C21B0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Հարություն Ասատրյան Վոլոդյայի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A3E961F" w14:textId="37595D58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1 250 000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E11E5B8" w14:textId="7A5EC312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250 000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FA6C878" w14:textId="206E7C08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1 500 000</w:t>
            </w:r>
          </w:p>
        </w:tc>
      </w:tr>
      <w:tr w:rsidR="000727EC" w:rsidRPr="006D4A82" w14:paraId="5480085E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3E7F25A" w14:textId="4ADF5B9F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BB7D6D">
              <w:rPr>
                <w:rFonts w:ascii="GHEA Grapalat" w:hAnsi="GHEA Grapalat"/>
                <w:b/>
                <w:color w:val="000000"/>
                <w:sz w:val="16"/>
                <w:szCs w:val="14"/>
              </w:rPr>
              <w:t>2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449300D" w14:textId="77777777" w:rsidR="000727EC" w:rsidRPr="000727EC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6C535E5" w14:textId="77777777" w:rsidR="000727EC" w:rsidRPr="000727EC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6B15D7F" w14:textId="77777777" w:rsidR="000727EC" w:rsidRPr="000727EC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D5C99AB" w14:textId="77777777" w:rsidR="000727EC" w:rsidRPr="000727EC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0727EC" w:rsidRPr="006D4A82" w14:paraId="442C415C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BBE24ED" w14:textId="68E2AC0F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89B76F5" w14:textId="5725234B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Կարեն</w:t>
            </w:r>
            <w:proofErr w:type="spellEnd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Սարգսյան</w:t>
            </w:r>
            <w:proofErr w:type="spellEnd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Ա/Ձ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F2F6D31" w14:textId="4999075D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245 833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97CE8FD" w14:textId="0EBC4711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49 167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802F2E0" w14:textId="67FF0734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295 000</w:t>
            </w:r>
          </w:p>
        </w:tc>
      </w:tr>
      <w:tr w:rsidR="000727EC" w:rsidRPr="006D4A82" w14:paraId="6B30F7C6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C55D0C2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3367E7E" w14:textId="46C7E397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Հարություն Ասատրյան Վոլոդյայի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C9F745A" w14:textId="3DC4404A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625 000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C3F6C99" w14:textId="2CE32E07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125 000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8360380" w14:textId="22697F89" w:rsidR="000727EC" w:rsidRPr="00B73EE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750 000</w:t>
            </w:r>
          </w:p>
        </w:tc>
      </w:tr>
      <w:tr w:rsidR="000727EC" w:rsidRPr="00411537" w14:paraId="700CD07F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0727EC" w:rsidRPr="00411537" w14:paraId="521126E1" w14:textId="77777777" w:rsidTr="001C71BE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0727EC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0727EC" w:rsidRPr="00625C4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0727EC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0727EC" w:rsidRPr="00625C4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0727EC" w:rsidRPr="00625C4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0727EC" w:rsidRPr="00625C4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0727EC" w:rsidRPr="00625C4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0727EC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0727EC" w:rsidRPr="006D4A82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0727EC" w:rsidRPr="00411537" w14:paraId="522ACAFB" w14:textId="77777777" w:rsidTr="001C71B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0727EC" w:rsidRPr="00625C4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656473A5" w:rsidR="000727EC" w:rsidRPr="00625C47" w:rsidRDefault="000727EC" w:rsidP="000727E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0727EC" w:rsidRPr="00411537" w14:paraId="617248CD" w14:textId="77777777" w:rsidTr="001C71BE">
        <w:trPr>
          <w:trHeight w:val="93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0727EC" w:rsidRPr="00411537" w:rsidRDefault="000727EC" w:rsidP="00072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0727EC" w:rsidRPr="00411537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0727EC" w:rsidRPr="00411537" w:rsidRDefault="000727EC" w:rsidP="000727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C3C38F4" w:rsidR="000727EC" w:rsidRPr="00411537" w:rsidRDefault="00716912" w:rsidP="000727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18.</w:t>
            </w:r>
            <w:r w:rsid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  <w:r w:rsid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5</w:t>
            </w:r>
            <w:r w:rsidR="000727EC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 w:rsid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2022</w:t>
            </w:r>
            <w:r w:rsidR="000727EC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թ</w:t>
            </w:r>
          </w:p>
        </w:tc>
      </w:tr>
      <w:tr w:rsidR="000727EC" w:rsidRPr="00411537" w14:paraId="71BEA872" w14:textId="77777777" w:rsidTr="001C71B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0727EC" w:rsidRPr="00411537" w:rsidRDefault="000727EC" w:rsidP="000727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0727EC" w:rsidRPr="00411537" w:rsidRDefault="000727EC" w:rsidP="000727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0727EC" w:rsidRPr="00411537" w:rsidRDefault="000727EC" w:rsidP="000727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0727EC" w:rsidRPr="00411537" w14:paraId="04C80107" w14:textId="77777777" w:rsidTr="001C71BE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0727EC" w:rsidRPr="00411537" w:rsidRDefault="000727EC" w:rsidP="000727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22192FBB" w:rsidR="000727EC" w:rsidRPr="00343CF4" w:rsidRDefault="000727EC" w:rsidP="000727E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</w:t>
            </w:r>
            <w:r w:rsidR="000A78B6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.05</w:t>
            </w:r>
            <w:r w:rsidRPr="00343CF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.2022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27C89E19" w:rsidR="000727EC" w:rsidRPr="00343CF4" w:rsidRDefault="000A78B6" w:rsidP="000727E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24</w:t>
            </w:r>
            <w:r w:rsid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5</w:t>
            </w:r>
            <w:r w:rsidR="000727EC" w:rsidRPr="00343CF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.2022</w:t>
            </w:r>
            <w:r w:rsid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</w:tr>
      <w:tr w:rsidR="000727EC" w:rsidRPr="00411537" w14:paraId="2254FA5C" w14:textId="77777777" w:rsidTr="001C71BE">
        <w:trPr>
          <w:trHeight w:val="472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68CED61D" w:rsidR="000727EC" w:rsidRPr="00411537" w:rsidRDefault="000727EC" w:rsidP="000727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  </w:t>
            </w:r>
            <w:r w:rsidR="000A78B6" w:rsidRPr="000A78B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  <w:r w:rsidR="000A78B6" w:rsidRPr="000A78B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0727EC" w:rsidRPr="00411537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0727EC" w:rsidRPr="00411537" w:rsidRDefault="000727EC" w:rsidP="000727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A74EA9B" w:rsidR="000727EC" w:rsidRPr="00716912" w:rsidRDefault="00716912" w:rsidP="000727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08.06.2022թ</w:t>
            </w:r>
          </w:p>
        </w:tc>
      </w:tr>
      <w:tr w:rsidR="00716912" w:rsidRPr="00411537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716912" w:rsidRPr="00411537" w:rsidRDefault="00716912" w:rsidP="0071691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E5ED835" w:rsidR="00716912" w:rsidRPr="00E937DC" w:rsidRDefault="00716912" w:rsidP="0071691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9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.06.2022թ</w:t>
            </w:r>
          </w:p>
        </w:tc>
      </w:tr>
      <w:tr w:rsidR="00716912" w:rsidRPr="00411537" w14:paraId="79A64497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16912" w:rsidRPr="00411537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այմանագ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716912" w:rsidRPr="00411537" w14:paraId="11F19FA1" w14:textId="77777777" w:rsidTr="001C71BE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716912" w:rsidRPr="00411537" w14:paraId="4DC53241" w14:textId="77777777" w:rsidTr="001C71BE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716912" w:rsidRPr="00411537" w14:paraId="75FDA7D8" w14:textId="77777777" w:rsidTr="001C71BE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0A78B6" w:rsidRPr="00411537" w14:paraId="1995B74A" w14:textId="77777777" w:rsidTr="000A78B6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48680CDD" w:rsidR="000A78B6" w:rsidRPr="00716912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1,2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699065B2" w:rsidR="000A78B6" w:rsidRPr="00411537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Կարեն</w:t>
            </w:r>
            <w:proofErr w:type="spellEnd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Սարգսյան</w:t>
            </w:r>
            <w:proofErr w:type="spellEnd"/>
            <w:r w:rsidRPr="000727EC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Ա/Ձ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5D30524E" w:rsidR="000A78B6" w:rsidRPr="00411537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867B1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ՈՒԱԿ-ԳՀԱՊՁԲ-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22/55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12A32785" w:rsidR="000A78B6" w:rsidRPr="00411537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09.06.2022թ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5C409D95" w:rsidR="000A78B6" w:rsidRPr="0001100C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30.12.2022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  <w:tc>
          <w:tcPr>
            <w:tcW w:w="10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0A78B6" w:rsidRPr="00411537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1B0BF649" w:rsidR="000A78B6" w:rsidRPr="008D274F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A78B6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935</w:t>
            </w:r>
            <w:r w:rsidRPr="000A78B6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0A78B6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34F41674" w:rsidR="000A78B6" w:rsidRPr="00411537" w:rsidRDefault="000A78B6" w:rsidP="000A78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A78B6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935</w:t>
            </w:r>
            <w:r w:rsidRPr="000A78B6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0A78B6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000</w:t>
            </w:r>
          </w:p>
        </w:tc>
      </w:tr>
      <w:tr w:rsidR="00716912" w:rsidRPr="009867B1" w14:paraId="41E4ED39" w14:textId="77777777" w:rsidTr="001C71BE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716912" w:rsidRPr="001F1329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716912" w:rsidRPr="00411537" w14:paraId="1F657639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716912" w:rsidRPr="0005477F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Բանկային</w:t>
            </w:r>
            <w:proofErr w:type="spellEnd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716912" w:rsidRPr="00411537" w14:paraId="36708B22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7E9BC" w14:textId="789DB6E3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1,2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ECC55" w14:textId="63C56347" w:rsidR="00716912" w:rsidRPr="00411537" w:rsidRDefault="00716912" w:rsidP="00AC0A5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Կարեն</w:t>
            </w:r>
            <w:proofErr w:type="spellEnd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Սարգսյան</w:t>
            </w:r>
            <w:proofErr w:type="spellEnd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Ա/Ձ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05334" w14:textId="77777777" w:rsidR="00ED46BA" w:rsidRDefault="00AC0A53" w:rsidP="00AC0A5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Գայի</w:t>
            </w:r>
            <w:proofErr w:type="spellEnd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1,</w:t>
            </w:r>
          </w:p>
          <w:p w14:paraId="4121963F" w14:textId="0910314F" w:rsidR="00716912" w:rsidRPr="00411537" w:rsidRDefault="00AC0A53" w:rsidP="00AC0A5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/091/ 656</w:t>
            </w:r>
            <w:r w:rsidRPr="00AC0A53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987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DBFA9" w14:textId="4EA980F5" w:rsidR="00716912" w:rsidRPr="00411537" w:rsidRDefault="00AC0A53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hyperlink r:id="rId8" w:history="1">
              <w:r w:rsidRPr="00266244">
                <w:rPr>
                  <w:rStyle w:val="aa"/>
                  <w:rFonts w:ascii="GHEA Grapalat" w:hAnsi="GHEA Grapalat"/>
                  <w:sz w:val="18"/>
                  <w:szCs w:val="18"/>
                </w:rPr>
                <w:t>karensargsyan1976@mail.ru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E9FE5" w14:textId="1AF8F3EA" w:rsidR="00716912" w:rsidRPr="0005477F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217002182558001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8E470" w14:textId="5B6E0905" w:rsidR="00716912" w:rsidRPr="00AC0A53" w:rsidRDefault="00AC0A53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AC0A5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25268814</w:t>
            </w:r>
          </w:p>
        </w:tc>
      </w:tr>
      <w:tr w:rsidR="00716912" w:rsidRPr="00411537" w14:paraId="496A046D" w14:textId="77777777" w:rsidTr="001C71BE">
        <w:trPr>
          <w:trHeight w:val="52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716912" w:rsidRPr="00496602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</w:p>
        </w:tc>
      </w:tr>
      <w:tr w:rsidR="00716912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716912" w:rsidRPr="00411537" w:rsidRDefault="00716912" w:rsidP="0071691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57352848" w:rsidR="00716912" w:rsidRPr="00411537" w:rsidRDefault="00716912" w:rsidP="00716912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</w:p>
        </w:tc>
      </w:tr>
      <w:tr w:rsidR="00716912" w:rsidRPr="00411537" w14:paraId="485BF528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16912" w:rsidRPr="00411537" w14:paraId="7DB42300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DF1C8BF" w:rsidR="00716912" w:rsidRPr="00411537" w:rsidRDefault="00716912" w:rsidP="0071691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716912" w:rsidRPr="00411537" w:rsidRDefault="00716912" w:rsidP="0071691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716912" w:rsidRPr="00411537" w:rsidRDefault="00716912" w:rsidP="0071691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716912" w:rsidRPr="00411537" w:rsidRDefault="00716912" w:rsidP="0071691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716912" w:rsidRPr="00411537" w:rsidRDefault="00716912" w:rsidP="0071691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716912" w:rsidRPr="00411537" w:rsidRDefault="00716912" w:rsidP="0071691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716912" w:rsidRPr="00411537" w:rsidRDefault="00716912" w:rsidP="0071691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4EADF4C5" w:rsidR="00716912" w:rsidRPr="00411537" w:rsidRDefault="00716912" w:rsidP="0071691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hyperlink r:id="rId9" w:history="1"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</w:t>
              </w:r>
              <w:r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y</w:t>
              </w:r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an_oncology@mail.ru</w:t>
              </w:r>
            </w:hyperlink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716912" w:rsidRPr="00411537" w14:paraId="3CC8B38C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7E950AD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16912" w:rsidRPr="006136FE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716912" w:rsidRPr="00152B7C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0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716912" w:rsidRPr="006136FE" w14:paraId="5A7FED5D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A66F2DC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16912" w:rsidRPr="006136FE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716912" w:rsidRPr="00411537" w:rsidRDefault="00716912" w:rsidP="0071691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716912" w:rsidRPr="006136FE" w14:paraId="541BD7F7" w14:textId="77777777" w:rsidTr="001C71BE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16912" w:rsidRPr="006136FE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716912" w:rsidRPr="00411537" w:rsidRDefault="00716912" w:rsidP="0071691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716912" w:rsidRPr="006136FE" w14:paraId="1DAD5D5C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16912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716912" w:rsidRPr="00411537" w:rsidRDefault="00716912" w:rsidP="0071691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16912" w:rsidRPr="00411537" w14:paraId="406B68D6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716912" w:rsidRPr="00411537" w:rsidRDefault="00716912" w:rsidP="0071691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16912" w:rsidRPr="00411537" w14:paraId="1A2BD291" w14:textId="77777777" w:rsidTr="001C71BE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716912" w:rsidRPr="00411537" w:rsidRDefault="00716912" w:rsidP="0071691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16912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716912" w:rsidRPr="00411537" w:rsidRDefault="00716912" w:rsidP="0071691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716912" w:rsidRPr="00411537" w:rsidRDefault="00716912" w:rsidP="0071691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716912" w:rsidRPr="00411537" w:rsidRDefault="00716912" w:rsidP="0071691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716912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716912" w:rsidRPr="00411537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322BC684" w:rsidR="00716912" w:rsidRPr="00EB1273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 /102/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3F1DCD5D" w:rsidR="00716912" w:rsidRPr="00BD0C9E" w:rsidRDefault="00716912" w:rsidP="0071691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hyperlink r:id="rId12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</w:p>
        </w:tc>
      </w:tr>
    </w:tbl>
    <w:p w14:paraId="1160E497" w14:textId="262D3789" w:rsidR="001021B0" w:rsidRPr="00625C47" w:rsidRDefault="00411537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>Պատվիրատու՝ «Վ. Ա. Ֆանարջյանի անվան ուռուցքաբանության ազգային կենտրոն» ՓԲ</w:t>
      </w:r>
      <w:r w:rsidR="00625C47">
        <w:rPr>
          <w:rFonts w:ascii="GHEA Grapalat" w:hAnsi="GHEA Grapalat" w:cs="Sylfaen"/>
          <w:color w:val="000000" w:themeColor="text1"/>
          <w:sz w:val="20"/>
          <w:lang w:val="ru-RU"/>
        </w:rPr>
        <w:t>Ը</w:t>
      </w:r>
    </w:p>
    <w:sectPr w:rsidR="001021B0" w:rsidRPr="00625C47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4912" w14:textId="77777777" w:rsidR="00786EDC" w:rsidRDefault="00786EDC" w:rsidP="0022631D">
      <w:pPr>
        <w:spacing w:before="0" w:after="0"/>
      </w:pPr>
      <w:r>
        <w:separator/>
      </w:r>
    </w:p>
  </w:endnote>
  <w:endnote w:type="continuationSeparator" w:id="0">
    <w:p w14:paraId="6866C848" w14:textId="77777777" w:rsidR="00786EDC" w:rsidRDefault="00786ED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7DE0A" w14:textId="77777777" w:rsidR="00786EDC" w:rsidRDefault="00786EDC" w:rsidP="0022631D">
      <w:pPr>
        <w:spacing w:before="0" w:after="0"/>
      </w:pPr>
      <w:r>
        <w:separator/>
      </w:r>
    </w:p>
  </w:footnote>
  <w:footnote w:type="continuationSeparator" w:id="0">
    <w:p w14:paraId="39C19175" w14:textId="77777777" w:rsidR="00786EDC" w:rsidRDefault="00786EDC" w:rsidP="0022631D">
      <w:pPr>
        <w:spacing w:before="0" w:after="0"/>
      </w:pPr>
      <w:r>
        <w:continuationSeparator/>
      </w:r>
    </w:p>
  </w:footnote>
  <w:footnote w:id="1">
    <w:p w14:paraId="3B8A1A70" w14:textId="77777777" w:rsidR="00343CF4" w:rsidRPr="002D0BF6" w:rsidRDefault="00343CF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954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5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100C"/>
    <w:rsid w:val="00012170"/>
    <w:rsid w:val="00044EA8"/>
    <w:rsid w:val="00046CCF"/>
    <w:rsid w:val="00051ECE"/>
    <w:rsid w:val="0005477F"/>
    <w:rsid w:val="0007090E"/>
    <w:rsid w:val="000727EC"/>
    <w:rsid w:val="00073D66"/>
    <w:rsid w:val="000906BA"/>
    <w:rsid w:val="000A0A7B"/>
    <w:rsid w:val="000A44D6"/>
    <w:rsid w:val="000A78B6"/>
    <w:rsid w:val="000B0199"/>
    <w:rsid w:val="000C63DC"/>
    <w:rsid w:val="000D3261"/>
    <w:rsid w:val="000E4FF1"/>
    <w:rsid w:val="000E749D"/>
    <w:rsid w:val="000F376D"/>
    <w:rsid w:val="001021B0"/>
    <w:rsid w:val="0010690E"/>
    <w:rsid w:val="00117D47"/>
    <w:rsid w:val="001276EC"/>
    <w:rsid w:val="00135181"/>
    <w:rsid w:val="00141183"/>
    <w:rsid w:val="001415A0"/>
    <w:rsid w:val="00146BB2"/>
    <w:rsid w:val="001520CF"/>
    <w:rsid w:val="00152B7C"/>
    <w:rsid w:val="00162D67"/>
    <w:rsid w:val="0018422F"/>
    <w:rsid w:val="00191597"/>
    <w:rsid w:val="00193323"/>
    <w:rsid w:val="001A1999"/>
    <w:rsid w:val="001C1BE1"/>
    <w:rsid w:val="001C71BE"/>
    <w:rsid w:val="001E0091"/>
    <w:rsid w:val="001E4B6D"/>
    <w:rsid w:val="001F1329"/>
    <w:rsid w:val="001F3CA5"/>
    <w:rsid w:val="002057FA"/>
    <w:rsid w:val="0022631D"/>
    <w:rsid w:val="00265D3E"/>
    <w:rsid w:val="00270BEE"/>
    <w:rsid w:val="002819DA"/>
    <w:rsid w:val="00286C43"/>
    <w:rsid w:val="00295B92"/>
    <w:rsid w:val="002A192F"/>
    <w:rsid w:val="002A5819"/>
    <w:rsid w:val="002B6569"/>
    <w:rsid w:val="002C0792"/>
    <w:rsid w:val="002D2E7F"/>
    <w:rsid w:val="002E4E6F"/>
    <w:rsid w:val="002F16CC"/>
    <w:rsid w:val="002F1FEB"/>
    <w:rsid w:val="00343CF4"/>
    <w:rsid w:val="00362C2F"/>
    <w:rsid w:val="00371B1D"/>
    <w:rsid w:val="00376402"/>
    <w:rsid w:val="003A7ACB"/>
    <w:rsid w:val="003B2758"/>
    <w:rsid w:val="003B29FF"/>
    <w:rsid w:val="003C755B"/>
    <w:rsid w:val="003E0758"/>
    <w:rsid w:val="003E3D40"/>
    <w:rsid w:val="003E6978"/>
    <w:rsid w:val="00411537"/>
    <w:rsid w:val="00433E3C"/>
    <w:rsid w:val="004423CF"/>
    <w:rsid w:val="00460B10"/>
    <w:rsid w:val="00472069"/>
    <w:rsid w:val="00474C2F"/>
    <w:rsid w:val="004764CD"/>
    <w:rsid w:val="004875E0"/>
    <w:rsid w:val="004908B1"/>
    <w:rsid w:val="00496602"/>
    <w:rsid w:val="0049728A"/>
    <w:rsid w:val="004A65BF"/>
    <w:rsid w:val="004B2BBC"/>
    <w:rsid w:val="004D078F"/>
    <w:rsid w:val="004E376E"/>
    <w:rsid w:val="004F2B70"/>
    <w:rsid w:val="00503BCC"/>
    <w:rsid w:val="005045AD"/>
    <w:rsid w:val="00513B41"/>
    <w:rsid w:val="005156FA"/>
    <w:rsid w:val="005314B5"/>
    <w:rsid w:val="00546023"/>
    <w:rsid w:val="005461EB"/>
    <w:rsid w:val="005500AD"/>
    <w:rsid w:val="005737F9"/>
    <w:rsid w:val="00586BD0"/>
    <w:rsid w:val="005A7D7A"/>
    <w:rsid w:val="005B4F8D"/>
    <w:rsid w:val="005C612F"/>
    <w:rsid w:val="005D1EA5"/>
    <w:rsid w:val="005D5FBD"/>
    <w:rsid w:val="005E41E1"/>
    <w:rsid w:val="00607C9A"/>
    <w:rsid w:val="006136FE"/>
    <w:rsid w:val="006154A5"/>
    <w:rsid w:val="00623BCA"/>
    <w:rsid w:val="00625C47"/>
    <w:rsid w:val="00646760"/>
    <w:rsid w:val="00676DAB"/>
    <w:rsid w:val="00690ECB"/>
    <w:rsid w:val="006A0AF4"/>
    <w:rsid w:val="006A23A2"/>
    <w:rsid w:val="006A38B4"/>
    <w:rsid w:val="006B2E21"/>
    <w:rsid w:val="006C0266"/>
    <w:rsid w:val="006C75CF"/>
    <w:rsid w:val="006D0096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F2779"/>
    <w:rsid w:val="007018FC"/>
    <w:rsid w:val="007060FC"/>
    <w:rsid w:val="007119B1"/>
    <w:rsid w:val="00716912"/>
    <w:rsid w:val="00726F9F"/>
    <w:rsid w:val="00731059"/>
    <w:rsid w:val="0073505B"/>
    <w:rsid w:val="0074213F"/>
    <w:rsid w:val="007524DF"/>
    <w:rsid w:val="0075456A"/>
    <w:rsid w:val="00755F09"/>
    <w:rsid w:val="00772326"/>
    <w:rsid w:val="007732E7"/>
    <w:rsid w:val="00784EC0"/>
    <w:rsid w:val="0078682E"/>
    <w:rsid w:val="00786EDC"/>
    <w:rsid w:val="007930D8"/>
    <w:rsid w:val="00795DCB"/>
    <w:rsid w:val="0081420B"/>
    <w:rsid w:val="008153B7"/>
    <w:rsid w:val="008258F2"/>
    <w:rsid w:val="008852DA"/>
    <w:rsid w:val="008A1831"/>
    <w:rsid w:val="008A4D49"/>
    <w:rsid w:val="008C4E62"/>
    <w:rsid w:val="008D274F"/>
    <w:rsid w:val="008E493A"/>
    <w:rsid w:val="008E6D15"/>
    <w:rsid w:val="008F4E0D"/>
    <w:rsid w:val="009067D2"/>
    <w:rsid w:val="009150A8"/>
    <w:rsid w:val="00916949"/>
    <w:rsid w:val="00931E28"/>
    <w:rsid w:val="00937D8D"/>
    <w:rsid w:val="00951233"/>
    <w:rsid w:val="00971753"/>
    <w:rsid w:val="009867B1"/>
    <w:rsid w:val="009C5E0F"/>
    <w:rsid w:val="009D0EE5"/>
    <w:rsid w:val="009D4AC6"/>
    <w:rsid w:val="009E19C0"/>
    <w:rsid w:val="009E75FF"/>
    <w:rsid w:val="009F767A"/>
    <w:rsid w:val="00A201B9"/>
    <w:rsid w:val="00A201E0"/>
    <w:rsid w:val="00A306F5"/>
    <w:rsid w:val="00A30DAE"/>
    <w:rsid w:val="00A31820"/>
    <w:rsid w:val="00A572BD"/>
    <w:rsid w:val="00A90E2C"/>
    <w:rsid w:val="00AA32E4"/>
    <w:rsid w:val="00AB609C"/>
    <w:rsid w:val="00AB7D71"/>
    <w:rsid w:val="00AC0A53"/>
    <w:rsid w:val="00AD07B9"/>
    <w:rsid w:val="00AD4AB5"/>
    <w:rsid w:val="00AD59DC"/>
    <w:rsid w:val="00AE05F2"/>
    <w:rsid w:val="00AE7A6A"/>
    <w:rsid w:val="00B47E46"/>
    <w:rsid w:val="00B52C5B"/>
    <w:rsid w:val="00B6736F"/>
    <w:rsid w:val="00B73EE7"/>
    <w:rsid w:val="00B75762"/>
    <w:rsid w:val="00B81EE3"/>
    <w:rsid w:val="00B91DE2"/>
    <w:rsid w:val="00B94EA2"/>
    <w:rsid w:val="00BA03B0"/>
    <w:rsid w:val="00BA2BC2"/>
    <w:rsid w:val="00BB0A93"/>
    <w:rsid w:val="00BB0B18"/>
    <w:rsid w:val="00BC5FEF"/>
    <w:rsid w:val="00BD0C9E"/>
    <w:rsid w:val="00BD2E07"/>
    <w:rsid w:val="00BD3D4E"/>
    <w:rsid w:val="00BE1BD4"/>
    <w:rsid w:val="00BF1465"/>
    <w:rsid w:val="00BF4745"/>
    <w:rsid w:val="00C02EBD"/>
    <w:rsid w:val="00C60160"/>
    <w:rsid w:val="00C835DA"/>
    <w:rsid w:val="00C84DF7"/>
    <w:rsid w:val="00C96337"/>
    <w:rsid w:val="00C966F0"/>
    <w:rsid w:val="00C96BED"/>
    <w:rsid w:val="00CB44D2"/>
    <w:rsid w:val="00CC1F23"/>
    <w:rsid w:val="00CE2F12"/>
    <w:rsid w:val="00CE5D98"/>
    <w:rsid w:val="00CE5DF0"/>
    <w:rsid w:val="00CF1F70"/>
    <w:rsid w:val="00D10AD3"/>
    <w:rsid w:val="00D3217E"/>
    <w:rsid w:val="00D350DE"/>
    <w:rsid w:val="00D36189"/>
    <w:rsid w:val="00D51B3E"/>
    <w:rsid w:val="00D74951"/>
    <w:rsid w:val="00D80C64"/>
    <w:rsid w:val="00D93B89"/>
    <w:rsid w:val="00D93FE9"/>
    <w:rsid w:val="00DD1E64"/>
    <w:rsid w:val="00DD715F"/>
    <w:rsid w:val="00DD776D"/>
    <w:rsid w:val="00DE06F1"/>
    <w:rsid w:val="00DF59CC"/>
    <w:rsid w:val="00E243EA"/>
    <w:rsid w:val="00E33A25"/>
    <w:rsid w:val="00E4059B"/>
    <w:rsid w:val="00E4188B"/>
    <w:rsid w:val="00E46B29"/>
    <w:rsid w:val="00E47B5E"/>
    <w:rsid w:val="00E54C4D"/>
    <w:rsid w:val="00E56328"/>
    <w:rsid w:val="00E725AC"/>
    <w:rsid w:val="00E80A96"/>
    <w:rsid w:val="00E937DC"/>
    <w:rsid w:val="00EA01A2"/>
    <w:rsid w:val="00EA568C"/>
    <w:rsid w:val="00EA767F"/>
    <w:rsid w:val="00EB1273"/>
    <w:rsid w:val="00EB2016"/>
    <w:rsid w:val="00EB59EE"/>
    <w:rsid w:val="00EC6D8B"/>
    <w:rsid w:val="00ED38AD"/>
    <w:rsid w:val="00ED46BA"/>
    <w:rsid w:val="00EE1A7A"/>
    <w:rsid w:val="00EE5F0E"/>
    <w:rsid w:val="00EF16D0"/>
    <w:rsid w:val="00F015EB"/>
    <w:rsid w:val="00F10AFE"/>
    <w:rsid w:val="00F31004"/>
    <w:rsid w:val="00F36A98"/>
    <w:rsid w:val="00F64167"/>
    <w:rsid w:val="00F65FA2"/>
    <w:rsid w:val="00F6673B"/>
    <w:rsid w:val="00F76D42"/>
    <w:rsid w:val="00F77AAD"/>
    <w:rsid w:val="00F916C4"/>
    <w:rsid w:val="00FA09D6"/>
    <w:rsid w:val="00FB04D0"/>
    <w:rsid w:val="00FB097B"/>
    <w:rsid w:val="00FB10D0"/>
    <w:rsid w:val="00F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sargsyan1976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090B2-3259-451B-9639-6F6010CE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1248</Words>
  <Characters>7116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Anahit</cp:lastModifiedBy>
  <cp:revision>134</cp:revision>
  <cp:lastPrinted>2021-09-28T07:19:00Z</cp:lastPrinted>
  <dcterms:created xsi:type="dcterms:W3CDTF">2021-06-28T12:08:00Z</dcterms:created>
  <dcterms:modified xsi:type="dcterms:W3CDTF">2022-06-10T06:20:00Z</dcterms:modified>
</cp:coreProperties>
</file>